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2D6DB" w14:textId="77777777" w:rsidR="002A5B71" w:rsidRPr="002A5B71" w:rsidRDefault="002A5B71" w:rsidP="002A5B71">
      <w:pPr>
        <w:spacing w:line="240" w:lineRule="auto"/>
        <w:rPr>
          <w:rFonts w:ascii="Garamond" w:hAnsi="Garamond"/>
          <w:b/>
        </w:rPr>
      </w:pPr>
      <w:r w:rsidRPr="002A5B71">
        <w:rPr>
          <w:rFonts w:ascii="Garamond" w:hAnsi="Garamond"/>
          <w:b/>
        </w:rPr>
        <w:t>Some good rules of thumb for finding counterexamples:</w:t>
      </w:r>
    </w:p>
    <w:p w14:paraId="45B97D2E" w14:textId="77777777" w:rsidR="002A5B71" w:rsidRPr="005173F1" w:rsidRDefault="002A5B71" w:rsidP="002A5B71">
      <w:pPr>
        <w:spacing w:line="240" w:lineRule="auto"/>
        <w:rPr>
          <w:rFonts w:ascii="Garamond" w:hAnsi="Garamond"/>
          <w:i/>
        </w:rPr>
      </w:pPr>
    </w:p>
    <w:p w14:paraId="50EFCF18" w14:textId="713E7FCA" w:rsidR="002A5B71" w:rsidRDefault="002A5B71" w:rsidP="002A5B71">
      <w:pPr>
        <w:pStyle w:val="ListParagraph"/>
        <w:numPr>
          <w:ilvl w:val="0"/>
          <w:numId w:val="2"/>
        </w:numPr>
        <w:spacing w:line="240" w:lineRule="auto"/>
        <w:rPr>
          <w:rFonts w:ascii="Garamond" w:hAnsi="Garamond"/>
          <w:i/>
        </w:rPr>
      </w:pPr>
      <w:r w:rsidRPr="002A5B71">
        <w:rPr>
          <w:rFonts w:ascii="Garamond" w:hAnsi="Garamond"/>
          <w:i/>
        </w:rPr>
        <w:t>Don’t forget that you have two conditionals!</w:t>
      </w:r>
    </w:p>
    <w:p w14:paraId="05B94E24" w14:textId="77777777" w:rsidR="002A5B71" w:rsidRPr="002A5B71" w:rsidRDefault="002A5B71" w:rsidP="002A5B71">
      <w:pPr>
        <w:spacing w:line="240" w:lineRule="auto"/>
        <w:rPr>
          <w:rFonts w:ascii="Garamond" w:hAnsi="Garamond"/>
          <w:i/>
        </w:rPr>
      </w:pPr>
    </w:p>
    <w:p w14:paraId="6BBC5E41" w14:textId="7F2BBBBD" w:rsidR="002A5B71" w:rsidRPr="002A5B71" w:rsidRDefault="002A5B71" w:rsidP="002A5B71">
      <w:pPr>
        <w:pStyle w:val="ListParagraph"/>
        <w:numPr>
          <w:ilvl w:val="0"/>
          <w:numId w:val="2"/>
        </w:numPr>
        <w:spacing w:line="240" w:lineRule="auto"/>
        <w:rPr>
          <w:rFonts w:ascii="Garamond" w:hAnsi="Garamond"/>
        </w:rPr>
      </w:pPr>
      <w:r>
        <w:rPr>
          <w:rFonts w:ascii="Garamond" w:hAnsi="Garamond"/>
        </w:rPr>
        <w:t>Focus on</w:t>
      </w:r>
      <w:r w:rsidRPr="005173F1">
        <w:rPr>
          <w:rFonts w:ascii="Garamond" w:hAnsi="Garamond"/>
        </w:rPr>
        <w:t xml:space="preserve"> the conditional most open to counterexample:</w:t>
      </w:r>
    </w:p>
    <w:p w14:paraId="1B41AC43" w14:textId="4D41D2BD" w:rsidR="002A5B71" w:rsidRPr="002A5B71" w:rsidRDefault="002A5B71" w:rsidP="002A5B71">
      <w:pPr>
        <w:pStyle w:val="ListParagraph"/>
        <w:numPr>
          <w:ilvl w:val="1"/>
          <w:numId w:val="2"/>
        </w:numPr>
        <w:spacing w:line="240" w:lineRule="auto"/>
        <w:rPr>
          <w:rFonts w:ascii="Garamond" w:hAnsi="Garamond"/>
        </w:rPr>
      </w:pPr>
      <w:r w:rsidRPr="005173F1">
        <w:rPr>
          <w:rFonts w:ascii="Garamond" w:hAnsi="Garamond"/>
        </w:rPr>
        <w:t>This is typically the more controversial conditional</w:t>
      </w:r>
    </w:p>
    <w:p w14:paraId="417A57B6" w14:textId="77777777" w:rsidR="002A5B71" w:rsidRPr="005173F1" w:rsidRDefault="002A5B71" w:rsidP="002A5B71">
      <w:pPr>
        <w:pStyle w:val="ListParagraph"/>
        <w:numPr>
          <w:ilvl w:val="1"/>
          <w:numId w:val="2"/>
        </w:numPr>
        <w:spacing w:line="240" w:lineRule="auto"/>
        <w:rPr>
          <w:rFonts w:ascii="Garamond" w:hAnsi="Garamond"/>
        </w:rPr>
      </w:pPr>
      <w:r w:rsidRPr="005173F1">
        <w:rPr>
          <w:rFonts w:ascii="Garamond" w:hAnsi="Garamond"/>
        </w:rPr>
        <w:t>Or the most expansive condit</w:t>
      </w:r>
      <w:r>
        <w:rPr>
          <w:rFonts w:ascii="Garamond" w:hAnsi="Garamond"/>
        </w:rPr>
        <w:t>ional (whose</w:t>
      </w:r>
      <w:r w:rsidRPr="005173F1">
        <w:rPr>
          <w:rFonts w:ascii="Garamond" w:hAnsi="Garamond"/>
        </w:rPr>
        <w:t xml:space="preserve"> antecedent applies to more situations – </w:t>
      </w:r>
      <w:r>
        <w:rPr>
          <w:rFonts w:ascii="Garamond" w:hAnsi="Garamond"/>
        </w:rPr>
        <w:t xml:space="preserve">this is </w:t>
      </w:r>
      <w:r w:rsidRPr="005173F1">
        <w:rPr>
          <w:rFonts w:ascii="Garamond" w:hAnsi="Garamond"/>
        </w:rPr>
        <w:t>the one with “or”</w:t>
      </w:r>
      <w:r>
        <w:rPr>
          <w:rFonts w:ascii="Garamond" w:hAnsi="Garamond"/>
        </w:rPr>
        <w:t xml:space="preserve"> in it</w:t>
      </w:r>
      <w:r w:rsidRPr="005173F1">
        <w:rPr>
          <w:rFonts w:ascii="Garamond" w:hAnsi="Garamond"/>
        </w:rPr>
        <w:t>)</w:t>
      </w:r>
    </w:p>
    <w:p w14:paraId="0D83C500" w14:textId="77777777" w:rsidR="002A5B71" w:rsidRPr="005173F1" w:rsidRDefault="002A5B71" w:rsidP="002A5B71">
      <w:pPr>
        <w:spacing w:line="240" w:lineRule="auto"/>
        <w:rPr>
          <w:rFonts w:ascii="Garamond" w:hAnsi="Garamond"/>
        </w:rPr>
      </w:pPr>
    </w:p>
    <w:p w14:paraId="31EFA596" w14:textId="69248476" w:rsidR="002A5B71" w:rsidRPr="002A5B71" w:rsidRDefault="002A5B71" w:rsidP="002A5B71">
      <w:pPr>
        <w:pStyle w:val="ListParagraph"/>
        <w:numPr>
          <w:ilvl w:val="0"/>
          <w:numId w:val="2"/>
        </w:numPr>
        <w:spacing w:line="240" w:lineRule="auto"/>
        <w:rPr>
          <w:rFonts w:ascii="Garamond" w:hAnsi="Garamond"/>
        </w:rPr>
      </w:pPr>
      <w:r w:rsidRPr="005173F1">
        <w:rPr>
          <w:rFonts w:ascii="Garamond" w:hAnsi="Garamond"/>
        </w:rPr>
        <w:t>Consider examples right near the borderline between the conditionals.</w:t>
      </w:r>
    </w:p>
    <w:p w14:paraId="72693F29" w14:textId="7720BBE5" w:rsidR="002A5B71" w:rsidRPr="002A5B71" w:rsidRDefault="002A5B71" w:rsidP="002A5B71">
      <w:pPr>
        <w:pStyle w:val="ListParagraph"/>
        <w:numPr>
          <w:ilvl w:val="1"/>
          <w:numId w:val="2"/>
        </w:numPr>
        <w:spacing w:line="240" w:lineRule="auto"/>
        <w:rPr>
          <w:rFonts w:ascii="Garamond" w:hAnsi="Garamond"/>
        </w:rPr>
      </w:pPr>
      <w:r w:rsidRPr="005173F1">
        <w:rPr>
          <w:rFonts w:ascii="Garamond" w:hAnsi="Garamond"/>
        </w:rPr>
        <w:t>These are cases that just barely fit the antecedent of the conditional the counterexample is relevant to.</w:t>
      </w:r>
    </w:p>
    <w:p w14:paraId="4FBCEEDE" w14:textId="339507B3" w:rsidR="002A5B71" w:rsidRPr="002A5B71" w:rsidRDefault="002A5B71" w:rsidP="002A5B71">
      <w:pPr>
        <w:pStyle w:val="ListParagraph"/>
        <w:numPr>
          <w:ilvl w:val="2"/>
          <w:numId w:val="2"/>
        </w:numPr>
        <w:spacing w:line="240" w:lineRule="auto"/>
        <w:rPr>
          <w:rFonts w:ascii="Garamond" w:hAnsi="Garamond"/>
        </w:rPr>
      </w:pPr>
      <w:r w:rsidRPr="005173F1">
        <w:rPr>
          <w:rFonts w:ascii="Garamond" w:hAnsi="Garamond"/>
        </w:rPr>
        <w:t xml:space="preserve">When the antecedent </w:t>
      </w:r>
      <w:proofErr w:type="gramStart"/>
      <w:r w:rsidRPr="005173F1">
        <w:rPr>
          <w:rFonts w:ascii="Garamond" w:hAnsi="Garamond"/>
        </w:rPr>
        <w:t>says  “</w:t>
      </w:r>
      <w:proofErr w:type="gramEnd"/>
      <w:r w:rsidRPr="005173F1">
        <w:rPr>
          <w:rFonts w:ascii="Garamond" w:hAnsi="Garamond"/>
        </w:rPr>
        <w:t xml:space="preserve">If (a) </w:t>
      </w:r>
      <w:r w:rsidRPr="005173F1">
        <w:rPr>
          <w:rFonts w:ascii="Garamond" w:hAnsi="Garamond"/>
          <w:i/>
        </w:rPr>
        <w:t>or</w:t>
      </w:r>
      <w:r w:rsidRPr="005173F1">
        <w:rPr>
          <w:rFonts w:ascii="Garamond" w:hAnsi="Garamond"/>
        </w:rPr>
        <w:t xml:space="preserve"> (b) </w:t>
      </w:r>
      <w:r w:rsidRPr="005173F1">
        <w:rPr>
          <w:rFonts w:ascii="Garamond" w:hAnsi="Garamond"/>
          <w:i/>
        </w:rPr>
        <w:t xml:space="preserve">or </w:t>
      </w:r>
      <w:r w:rsidRPr="005173F1">
        <w:rPr>
          <w:rFonts w:ascii="Garamond" w:hAnsi="Garamond"/>
        </w:rPr>
        <w:t>(c), then…” look at cases where only one of these conditions is met, and the others are not.</w:t>
      </w:r>
    </w:p>
    <w:p w14:paraId="7E6F5969" w14:textId="69CD2956" w:rsidR="002A5B71" w:rsidRPr="002A5B71" w:rsidRDefault="002A5B71" w:rsidP="002A5B71">
      <w:pPr>
        <w:pStyle w:val="ListParagraph"/>
        <w:numPr>
          <w:ilvl w:val="1"/>
          <w:numId w:val="2"/>
        </w:numPr>
        <w:spacing w:line="240" w:lineRule="auto"/>
        <w:rPr>
          <w:rFonts w:ascii="Garamond" w:hAnsi="Garamond"/>
        </w:rPr>
      </w:pPr>
      <w:r w:rsidRPr="005173F1">
        <w:rPr>
          <w:rFonts w:ascii="Garamond" w:hAnsi="Garamond"/>
        </w:rPr>
        <w:t xml:space="preserve">Don’t be afraid to add a lot of details that make your view look bad, even if they are very unlikely to occur.  You only need to show that there is a </w:t>
      </w:r>
      <w:r w:rsidRPr="005173F1">
        <w:rPr>
          <w:rFonts w:ascii="Garamond" w:hAnsi="Garamond"/>
          <w:i/>
        </w:rPr>
        <w:t>single</w:t>
      </w:r>
      <w:r w:rsidRPr="005173F1">
        <w:rPr>
          <w:rFonts w:ascii="Garamond" w:hAnsi="Garamond"/>
        </w:rPr>
        <w:t xml:space="preserve"> counterexample, even if it is a very rare type of case.</w:t>
      </w:r>
    </w:p>
    <w:p w14:paraId="10C61E03" w14:textId="77777777" w:rsidR="002A5B71" w:rsidRPr="005173F1" w:rsidRDefault="002A5B71" w:rsidP="002A5B71">
      <w:pPr>
        <w:pStyle w:val="ListParagraph"/>
        <w:numPr>
          <w:ilvl w:val="2"/>
          <w:numId w:val="2"/>
        </w:numPr>
        <w:spacing w:line="240" w:lineRule="auto"/>
        <w:rPr>
          <w:rFonts w:ascii="Garamond" w:hAnsi="Garamond"/>
        </w:rPr>
      </w:pPr>
      <w:r w:rsidRPr="005173F1">
        <w:rPr>
          <w:rFonts w:ascii="Garamond" w:hAnsi="Garamond"/>
        </w:rPr>
        <w:t xml:space="preserve">If the antecedent has a lot of “or” conditions, make just one of them met, and just barely, while the others are maximally </w:t>
      </w:r>
      <w:r w:rsidRPr="005173F1">
        <w:rPr>
          <w:rFonts w:ascii="Garamond" w:hAnsi="Garamond"/>
          <w:i/>
        </w:rPr>
        <w:t>un</w:t>
      </w:r>
      <w:r w:rsidRPr="005173F1">
        <w:rPr>
          <w:rFonts w:ascii="Garamond" w:hAnsi="Garamond"/>
        </w:rPr>
        <w:t>met.</w:t>
      </w:r>
    </w:p>
    <w:p w14:paraId="1B7A1F26" w14:textId="5915FD35" w:rsidR="002A5B71" w:rsidRDefault="002A5B71" w:rsidP="002A5B71">
      <w:pPr>
        <w:spacing w:line="240" w:lineRule="auto"/>
        <w:rPr>
          <w:rFonts w:ascii="Garamond" w:hAnsi="Garamond"/>
        </w:rPr>
      </w:pPr>
    </w:p>
    <w:p w14:paraId="3B9FC0AE" w14:textId="7AAFB8A9" w:rsidR="002A5B71" w:rsidRDefault="002A5B71" w:rsidP="002A5B71">
      <w:pPr>
        <w:spacing w:line="240" w:lineRule="auto"/>
        <w:rPr>
          <w:rFonts w:ascii="Garamond" w:hAnsi="Garamond"/>
        </w:rPr>
      </w:pPr>
    </w:p>
    <w:p w14:paraId="424C2959" w14:textId="77777777" w:rsidR="002A5B71" w:rsidRPr="005173F1" w:rsidRDefault="002A5B71" w:rsidP="002A5B71">
      <w:pPr>
        <w:spacing w:line="240" w:lineRule="auto"/>
        <w:rPr>
          <w:rFonts w:ascii="Garamond" w:hAnsi="Garamond"/>
        </w:rPr>
      </w:pPr>
    </w:p>
    <w:p w14:paraId="2D3ECAA4" w14:textId="39E22E0C" w:rsidR="006249CD" w:rsidRPr="002A5B71" w:rsidRDefault="006249CD" w:rsidP="002A5B71">
      <w:pPr>
        <w:pBdr>
          <w:top w:val="single" w:sz="4" w:space="1" w:color="auto"/>
        </w:pBdr>
        <w:spacing w:line="240" w:lineRule="auto"/>
        <w:rPr>
          <w:rFonts w:ascii="Garamond" w:hAnsi="Garamond"/>
        </w:rPr>
      </w:pPr>
      <w:r w:rsidRPr="002A5B71">
        <w:rPr>
          <w:rFonts w:ascii="Garamond" w:hAnsi="Garamond"/>
          <w:i/>
        </w:rPr>
        <w:t>Thesis:</w:t>
      </w:r>
      <w:r w:rsidRPr="002A5B71">
        <w:rPr>
          <w:rFonts w:ascii="Garamond" w:hAnsi="Garamond"/>
        </w:rPr>
        <w:t xml:space="preserve"> If believing </w:t>
      </w:r>
      <w:r w:rsidRPr="002A5B71">
        <w:rPr>
          <w:rFonts w:ascii="Garamond" w:hAnsi="Garamond"/>
          <w:i/>
        </w:rPr>
        <w:t>x</w:t>
      </w:r>
      <w:r w:rsidRPr="002A5B71">
        <w:rPr>
          <w:rFonts w:ascii="Garamond" w:hAnsi="Garamond"/>
        </w:rPr>
        <w:t xml:space="preserve"> is, as far as A can tell, the best way to increase the number of true things A believes, then A is</w:t>
      </w:r>
      <w:r w:rsidR="002A5B71">
        <w:rPr>
          <w:rFonts w:ascii="Garamond" w:hAnsi="Garamond"/>
        </w:rPr>
        <w:t xml:space="preserve"> epistemically</w:t>
      </w:r>
      <w:r w:rsidRPr="002A5B71">
        <w:rPr>
          <w:rFonts w:ascii="Garamond" w:hAnsi="Garamond"/>
        </w:rPr>
        <w:t xml:space="preserve"> justified in believing </w:t>
      </w:r>
      <w:r w:rsidRPr="002A5B71">
        <w:rPr>
          <w:rFonts w:ascii="Garamond" w:hAnsi="Garamond"/>
          <w:i/>
        </w:rPr>
        <w:t>x</w:t>
      </w:r>
      <w:r w:rsidRPr="002A5B71">
        <w:rPr>
          <w:rFonts w:ascii="Garamond" w:hAnsi="Garamond"/>
        </w:rPr>
        <w:t>.</w:t>
      </w:r>
    </w:p>
    <w:p w14:paraId="6D7D3B59" w14:textId="77777777" w:rsidR="00172521" w:rsidRPr="002A5B71" w:rsidRDefault="00172521" w:rsidP="006249CD">
      <w:pPr>
        <w:spacing w:line="240" w:lineRule="auto"/>
        <w:rPr>
          <w:rFonts w:ascii="Garamond" w:hAnsi="Garamond"/>
        </w:rPr>
      </w:pPr>
    </w:p>
    <w:p w14:paraId="5CF0CF7E" w14:textId="77777777" w:rsidR="006249CD" w:rsidRPr="002A5B71" w:rsidRDefault="006249CD" w:rsidP="006249CD">
      <w:pPr>
        <w:spacing w:line="240" w:lineRule="auto"/>
        <w:rPr>
          <w:rFonts w:ascii="Garamond" w:hAnsi="Garamond"/>
        </w:rPr>
      </w:pPr>
      <w:r w:rsidRPr="002A5B71">
        <w:rPr>
          <w:rFonts w:ascii="Garamond" w:hAnsi="Garamond"/>
          <w:i/>
        </w:rPr>
        <w:t>Part 2</w:t>
      </w:r>
    </w:p>
    <w:p w14:paraId="06F0E1F7" w14:textId="5B776F21" w:rsidR="00751B89" w:rsidRPr="002A5B71" w:rsidRDefault="00751B89" w:rsidP="006249CD">
      <w:pPr>
        <w:spacing w:line="240" w:lineRule="auto"/>
        <w:rPr>
          <w:rFonts w:ascii="Garamond" w:hAnsi="Garamond"/>
        </w:rPr>
      </w:pPr>
      <w:r w:rsidRPr="002A5B71">
        <w:rPr>
          <w:rFonts w:ascii="Garamond" w:hAnsi="Garamond"/>
        </w:rPr>
        <w:tab/>
        <w:t xml:space="preserve">Jane is an </w:t>
      </w:r>
      <w:r w:rsidR="00172521" w:rsidRPr="002A5B71">
        <w:rPr>
          <w:rFonts w:ascii="Garamond" w:hAnsi="Garamond"/>
        </w:rPr>
        <w:t>atheist</w:t>
      </w:r>
      <w:r w:rsidR="006249CD" w:rsidRPr="002A5B71">
        <w:rPr>
          <w:rFonts w:ascii="Garamond" w:hAnsi="Garamond"/>
        </w:rPr>
        <w:t xml:space="preserve"> who lives in a community of atheists and has never met anyone who has had a religious experience</w:t>
      </w:r>
      <w:r w:rsidRPr="002A5B71">
        <w:rPr>
          <w:rFonts w:ascii="Garamond" w:hAnsi="Garamond"/>
        </w:rPr>
        <w:t xml:space="preserve"> nor anyone who believes in God.  </w:t>
      </w:r>
      <w:proofErr w:type="gramStart"/>
      <w:r w:rsidRPr="002A5B71">
        <w:rPr>
          <w:rFonts w:ascii="Garamond" w:hAnsi="Garamond"/>
        </w:rPr>
        <w:t>All of</w:t>
      </w:r>
      <w:proofErr w:type="gramEnd"/>
      <w:r w:rsidRPr="002A5B71">
        <w:rPr>
          <w:rFonts w:ascii="Garamond" w:hAnsi="Garamond"/>
        </w:rPr>
        <w:t xml:space="preserve"> the evidence she has – evidence from her experience, her observations, her emotions, and from testimony –</w:t>
      </w:r>
      <w:r w:rsidR="006249CD" w:rsidRPr="002A5B71">
        <w:rPr>
          <w:rFonts w:ascii="Garamond" w:hAnsi="Garamond"/>
        </w:rPr>
        <w:t xml:space="preserve"> </w:t>
      </w:r>
      <w:r w:rsidRPr="002A5B71">
        <w:rPr>
          <w:rFonts w:ascii="Garamond" w:hAnsi="Garamond"/>
        </w:rPr>
        <w:t>supports the belief that God does not exist.  Jane</w:t>
      </w:r>
      <w:r w:rsidR="006249CD" w:rsidRPr="002A5B71">
        <w:rPr>
          <w:rFonts w:ascii="Garamond" w:hAnsi="Garamond"/>
        </w:rPr>
        <w:t xml:space="preserve"> is doing academic </w:t>
      </w:r>
      <w:proofErr w:type="gramStart"/>
      <w:r w:rsidR="006249CD" w:rsidRPr="002A5B71">
        <w:rPr>
          <w:rFonts w:ascii="Garamond" w:hAnsi="Garamond"/>
        </w:rPr>
        <w:t>work, and</w:t>
      </w:r>
      <w:proofErr w:type="gramEnd"/>
      <w:r w:rsidR="006249CD" w:rsidRPr="002A5B71">
        <w:rPr>
          <w:rFonts w:ascii="Garamond" w:hAnsi="Garamond"/>
        </w:rPr>
        <w:t xml:space="preserve"> wants to get a grant to continue her research.  The only grant-giving body that funds research like hers is a religious group</w:t>
      </w:r>
      <w:r w:rsidRPr="002A5B71">
        <w:rPr>
          <w:rFonts w:ascii="Garamond" w:hAnsi="Garamond"/>
        </w:rPr>
        <w:t xml:space="preserve"> (the group is in a distant country, and Jane has no idea why they have religious beliefs)</w:t>
      </w:r>
      <w:r w:rsidR="006249CD" w:rsidRPr="002A5B71">
        <w:rPr>
          <w:rFonts w:ascii="Garamond" w:hAnsi="Garamond"/>
        </w:rPr>
        <w:t xml:space="preserve">. </w:t>
      </w:r>
      <w:r w:rsidRPr="002A5B71">
        <w:rPr>
          <w:rFonts w:ascii="Garamond" w:hAnsi="Garamond"/>
        </w:rPr>
        <w:t xml:space="preserve"> </w:t>
      </w:r>
      <w:proofErr w:type="gramStart"/>
      <w:r w:rsidR="006249CD" w:rsidRPr="002A5B71">
        <w:rPr>
          <w:rFonts w:ascii="Garamond" w:hAnsi="Garamond"/>
        </w:rPr>
        <w:t>In order to</w:t>
      </w:r>
      <w:proofErr w:type="gramEnd"/>
      <w:r w:rsidR="006249CD" w:rsidRPr="002A5B71">
        <w:rPr>
          <w:rFonts w:ascii="Garamond" w:hAnsi="Garamond"/>
        </w:rPr>
        <w:t xml:space="preserve"> get funding from them, one</w:t>
      </w:r>
      <w:r w:rsidR="00172521" w:rsidRPr="002A5B71">
        <w:rPr>
          <w:rFonts w:ascii="Garamond" w:hAnsi="Garamond"/>
        </w:rPr>
        <w:t xml:space="preserve"> must truly believe in God</w:t>
      </w:r>
      <w:r w:rsidRPr="002A5B71">
        <w:rPr>
          <w:rFonts w:ascii="Garamond" w:hAnsi="Garamond"/>
        </w:rPr>
        <w:t xml:space="preserve"> – </w:t>
      </w:r>
      <w:r w:rsidR="006249CD" w:rsidRPr="002A5B71">
        <w:rPr>
          <w:rFonts w:ascii="Garamond" w:hAnsi="Garamond"/>
        </w:rPr>
        <w:t>they have very effective tests to determine if one’s bel</w:t>
      </w:r>
      <w:r w:rsidRPr="002A5B71">
        <w:rPr>
          <w:rFonts w:ascii="Garamond" w:hAnsi="Garamond"/>
        </w:rPr>
        <w:t>ief is sincere or not</w:t>
      </w:r>
      <w:r w:rsidR="006249CD" w:rsidRPr="002A5B71">
        <w:rPr>
          <w:rFonts w:ascii="Garamond" w:hAnsi="Garamond"/>
        </w:rPr>
        <w:t>.</w:t>
      </w:r>
      <w:r w:rsidRPr="002A5B71">
        <w:rPr>
          <w:rFonts w:ascii="Garamond" w:hAnsi="Garamond"/>
        </w:rPr>
        <w:t xml:space="preserve">  Jane has gone through all the initial stages of the grant </w:t>
      </w:r>
      <w:proofErr w:type="gramStart"/>
      <w:r w:rsidRPr="002A5B71">
        <w:rPr>
          <w:rFonts w:ascii="Garamond" w:hAnsi="Garamond"/>
        </w:rPr>
        <w:t>process, and</w:t>
      </w:r>
      <w:proofErr w:type="gramEnd"/>
      <w:r w:rsidRPr="002A5B71">
        <w:rPr>
          <w:rFonts w:ascii="Garamond" w:hAnsi="Garamond"/>
        </w:rPr>
        <w:t xml:space="preserve"> is guaranteed a grant if she just believes in God.  Jane’s colleague has developed a pill which can make a person believe in God.</w:t>
      </w:r>
      <w:r w:rsidR="006249CD" w:rsidRPr="002A5B71">
        <w:rPr>
          <w:rFonts w:ascii="Garamond" w:hAnsi="Garamond"/>
        </w:rPr>
        <w:t xml:space="preserve">  Jane knows that, if she </w:t>
      </w:r>
      <w:r w:rsidRPr="002A5B71">
        <w:rPr>
          <w:rFonts w:ascii="Garamond" w:hAnsi="Garamond"/>
        </w:rPr>
        <w:t>takes the pill and gets the grant</w:t>
      </w:r>
      <w:r w:rsidR="006249CD" w:rsidRPr="002A5B71">
        <w:rPr>
          <w:rFonts w:ascii="Garamond" w:hAnsi="Garamond"/>
        </w:rPr>
        <w:t xml:space="preserve">, she will continue her research and learn many more true things, more than she would learn if she does not get the grant. </w:t>
      </w:r>
      <w:r w:rsidRPr="002A5B71">
        <w:rPr>
          <w:rFonts w:ascii="Garamond" w:hAnsi="Garamond"/>
        </w:rPr>
        <w:t xml:space="preserve"> So, as far as Jane can tell, believing in God is the best way to increase the number of true beliefs she has.</w:t>
      </w:r>
      <w:r w:rsidR="006249CD" w:rsidRPr="002A5B71">
        <w:rPr>
          <w:rFonts w:ascii="Garamond" w:hAnsi="Garamond"/>
        </w:rPr>
        <w:t xml:space="preserve"> </w:t>
      </w:r>
    </w:p>
    <w:p w14:paraId="1D54ED6B" w14:textId="7796E2C8" w:rsidR="006249CD" w:rsidRPr="002A5B71" w:rsidRDefault="00751B89" w:rsidP="006249CD">
      <w:pPr>
        <w:spacing w:line="240" w:lineRule="auto"/>
        <w:rPr>
          <w:rFonts w:ascii="Garamond" w:hAnsi="Garamond"/>
        </w:rPr>
      </w:pPr>
      <w:r w:rsidRPr="002A5B71">
        <w:rPr>
          <w:rFonts w:ascii="Garamond" w:hAnsi="Garamond"/>
        </w:rPr>
        <w:tab/>
      </w:r>
      <w:r w:rsidR="006249CD" w:rsidRPr="002A5B71">
        <w:rPr>
          <w:rFonts w:ascii="Garamond" w:hAnsi="Garamond"/>
        </w:rPr>
        <w:t xml:space="preserve">Even so, </w:t>
      </w:r>
      <w:r w:rsidRPr="002A5B71">
        <w:rPr>
          <w:rFonts w:ascii="Garamond" w:hAnsi="Garamond"/>
        </w:rPr>
        <w:t>Jane would not be justified in believing in God</w:t>
      </w:r>
      <w:r w:rsidR="006249CD" w:rsidRPr="002A5B71">
        <w:rPr>
          <w:rFonts w:ascii="Garamond" w:hAnsi="Garamond"/>
        </w:rPr>
        <w:t xml:space="preserve">. </w:t>
      </w:r>
      <w:r w:rsidRPr="002A5B71">
        <w:rPr>
          <w:rFonts w:ascii="Garamond" w:hAnsi="Garamond"/>
        </w:rPr>
        <w:t xml:space="preserve"> </w:t>
      </w:r>
      <w:r w:rsidR="006249CD" w:rsidRPr="002A5B71">
        <w:rPr>
          <w:rFonts w:ascii="Garamond" w:hAnsi="Garamond"/>
        </w:rPr>
        <w:t xml:space="preserve">This is because she has no evidence that God exists, and </w:t>
      </w:r>
      <w:r w:rsidR="00172521" w:rsidRPr="002A5B71">
        <w:rPr>
          <w:rFonts w:ascii="Garamond" w:hAnsi="Garamond"/>
        </w:rPr>
        <w:t xml:space="preserve">she has </w:t>
      </w:r>
      <w:r w:rsidR="006249CD" w:rsidRPr="002A5B71">
        <w:rPr>
          <w:rFonts w:ascii="Garamond" w:hAnsi="Garamond"/>
        </w:rPr>
        <w:t xml:space="preserve">evidence that God does not exist.  </w:t>
      </w:r>
      <w:r w:rsidRPr="002A5B71">
        <w:rPr>
          <w:rFonts w:ascii="Garamond" w:hAnsi="Garamond"/>
        </w:rPr>
        <w:t xml:space="preserve">A person cannot be justified in believing something when that belief goes against </w:t>
      </w:r>
      <w:proofErr w:type="gramStart"/>
      <w:r w:rsidRPr="002A5B71">
        <w:rPr>
          <w:rFonts w:ascii="Garamond" w:hAnsi="Garamond"/>
        </w:rPr>
        <w:t>all of</w:t>
      </w:r>
      <w:proofErr w:type="gramEnd"/>
      <w:r w:rsidRPr="002A5B71">
        <w:rPr>
          <w:rFonts w:ascii="Garamond" w:hAnsi="Garamond"/>
        </w:rPr>
        <w:t xml:space="preserve"> her evidence, no matter how ben</w:t>
      </w:r>
      <w:r w:rsidR="002A5B71">
        <w:rPr>
          <w:rFonts w:ascii="Garamond" w:hAnsi="Garamond"/>
        </w:rPr>
        <w:t>eficial the belief would be.  It is practically rational for Jane</w:t>
      </w:r>
      <w:r w:rsidRPr="002A5B71">
        <w:rPr>
          <w:rFonts w:ascii="Garamond" w:hAnsi="Garamond"/>
        </w:rPr>
        <w:t xml:space="preserve"> to believe in God – the belief would be beneficial to her and her research – but </w:t>
      </w:r>
      <w:r w:rsidR="002A5B71">
        <w:rPr>
          <w:rFonts w:ascii="Garamond" w:hAnsi="Garamond"/>
        </w:rPr>
        <w:t xml:space="preserve">the belief is not </w:t>
      </w:r>
      <w:r w:rsidRPr="002A5B71">
        <w:rPr>
          <w:rFonts w:ascii="Garamond" w:hAnsi="Garamond"/>
        </w:rPr>
        <w:t>epistemic</w:t>
      </w:r>
      <w:r w:rsidR="002A5B71">
        <w:rPr>
          <w:rFonts w:ascii="Garamond" w:hAnsi="Garamond"/>
        </w:rPr>
        <w:t>ally</w:t>
      </w:r>
      <w:r w:rsidRPr="002A5B71">
        <w:rPr>
          <w:rFonts w:ascii="Garamond" w:hAnsi="Garamond"/>
        </w:rPr>
        <w:t xml:space="preserve"> justifi</w:t>
      </w:r>
      <w:r w:rsidR="002A5B71">
        <w:rPr>
          <w:rFonts w:ascii="Garamond" w:hAnsi="Garamond"/>
        </w:rPr>
        <w:t>ed</w:t>
      </w:r>
      <w:r w:rsidRPr="002A5B71">
        <w:rPr>
          <w:rFonts w:ascii="Garamond" w:hAnsi="Garamond"/>
        </w:rPr>
        <w:t>.</w:t>
      </w:r>
      <w:r w:rsidR="006249CD" w:rsidRPr="002A5B71">
        <w:rPr>
          <w:rStyle w:val="FootnoteReference"/>
          <w:rFonts w:ascii="Garamond" w:hAnsi="Garamond"/>
        </w:rPr>
        <w:footnoteReference w:id="1"/>
      </w:r>
    </w:p>
    <w:p w14:paraId="5E24D0C6" w14:textId="77777777" w:rsidR="006249CD" w:rsidRPr="002A5B71" w:rsidRDefault="006249CD" w:rsidP="006249CD">
      <w:pPr>
        <w:spacing w:line="240" w:lineRule="auto"/>
        <w:rPr>
          <w:rFonts w:ascii="Garamond" w:hAnsi="Garamond"/>
        </w:rPr>
      </w:pPr>
    </w:p>
    <w:p w14:paraId="456A30E5" w14:textId="77777777" w:rsidR="006249CD" w:rsidRPr="002A5B71" w:rsidRDefault="006249CD" w:rsidP="006249CD">
      <w:pPr>
        <w:spacing w:line="240" w:lineRule="auto"/>
        <w:rPr>
          <w:rFonts w:ascii="Garamond" w:hAnsi="Garamond"/>
        </w:rPr>
      </w:pPr>
    </w:p>
    <w:p w14:paraId="15E2896D" w14:textId="77777777" w:rsidR="006249CD" w:rsidRPr="002A5B71" w:rsidRDefault="006249CD" w:rsidP="006249CD">
      <w:pPr>
        <w:spacing w:line="240" w:lineRule="auto"/>
        <w:rPr>
          <w:rFonts w:ascii="Garamond" w:hAnsi="Garamond"/>
          <w:i/>
        </w:rPr>
      </w:pPr>
      <w:r w:rsidRPr="002A5B71">
        <w:rPr>
          <w:rFonts w:ascii="Garamond" w:hAnsi="Garamond"/>
          <w:i/>
        </w:rPr>
        <w:lastRenderedPageBreak/>
        <w:t>Part 3</w:t>
      </w:r>
      <w:r w:rsidRPr="002A5B71">
        <w:rPr>
          <w:rFonts w:ascii="Garamond" w:hAnsi="Garamond"/>
        </w:rPr>
        <w:t xml:space="preserve"> </w:t>
      </w:r>
      <w:r w:rsidR="00B26799" w:rsidRPr="002A5B71">
        <w:rPr>
          <w:rFonts w:ascii="Garamond" w:hAnsi="Garamond"/>
          <w:i/>
        </w:rPr>
        <w:t>(version A</w:t>
      </w:r>
      <w:r w:rsidRPr="002A5B71">
        <w:rPr>
          <w:rFonts w:ascii="Garamond" w:hAnsi="Garamond"/>
          <w:i/>
        </w:rPr>
        <w:t>)</w:t>
      </w:r>
    </w:p>
    <w:p w14:paraId="2EBED1F9" w14:textId="2B24DFD7" w:rsidR="006249CD" w:rsidRPr="002A5B71" w:rsidRDefault="006249CD" w:rsidP="0075512E">
      <w:pPr>
        <w:spacing w:line="240" w:lineRule="auto"/>
        <w:rPr>
          <w:rFonts w:ascii="Garamond" w:hAnsi="Garamond"/>
        </w:rPr>
      </w:pPr>
      <w:r w:rsidRPr="002A5B71">
        <w:rPr>
          <w:rFonts w:ascii="Garamond" w:hAnsi="Garamond"/>
        </w:rPr>
        <w:tab/>
      </w:r>
      <w:r w:rsidR="002A5B71">
        <w:rPr>
          <w:rFonts w:ascii="Garamond" w:hAnsi="Garamond"/>
        </w:rPr>
        <w:t xml:space="preserve">I agree that Jane is not epistemically justified in believing in God, but this is not really a counterexample to my thesis.  </w:t>
      </w:r>
      <w:r w:rsidR="002A5B71" w:rsidRPr="002A5B71">
        <w:rPr>
          <w:rFonts w:ascii="Garamond" w:hAnsi="Garamond"/>
        </w:rPr>
        <w:t xml:space="preserve">The example only seems to fit my </w:t>
      </w:r>
      <w:r w:rsidR="002A5B71">
        <w:rPr>
          <w:rFonts w:ascii="Garamond" w:hAnsi="Garamond"/>
        </w:rPr>
        <w:t xml:space="preserve">antecedent because we are focusing </w:t>
      </w:r>
      <w:r w:rsidR="002A5B71" w:rsidRPr="002A5B71">
        <w:rPr>
          <w:rFonts w:ascii="Garamond" w:hAnsi="Garamond"/>
        </w:rPr>
        <w:t>just beliefs that are due to Jane’s research grant</w:t>
      </w:r>
      <w:r w:rsidR="002A5B71">
        <w:rPr>
          <w:rFonts w:ascii="Garamond" w:hAnsi="Garamond"/>
        </w:rPr>
        <w:t>.  However</w:t>
      </w:r>
      <w:r w:rsidR="002A5B71" w:rsidRPr="002A5B71">
        <w:rPr>
          <w:rFonts w:ascii="Garamond" w:hAnsi="Garamond"/>
        </w:rPr>
        <w:t>, there are additional consequences of this belief that we should not overlook.</w:t>
      </w:r>
      <w:r w:rsidR="002A5B71">
        <w:rPr>
          <w:rFonts w:ascii="Garamond" w:hAnsi="Garamond"/>
        </w:rPr>
        <w:t xml:space="preserve">  </w:t>
      </w:r>
      <w:r w:rsidR="00751B89" w:rsidRPr="002A5B71">
        <w:rPr>
          <w:rFonts w:ascii="Garamond" w:hAnsi="Garamond"/>
        </w:rPr>
        <w:t xml:space="preserve">First, </w:t>
      </w:r>
      <w:r w:rsidR="00B26799" w:rsidRPr="002A5B71">
        <w:rPr>
          <w:rFonts w:ascii="Garamond" w:hAnsi="Garamond"/>
        </w:rPr>
        <w:t>Jane</w:t>
      </w:r>
      <w:r w:rsidR="00751B89" w:rsidRPr="002A5B71">
        <w:rPr>
          <w:rFonts w:ascii="Garamond" w:hAnsi="Garamond"/>
        </w:rPr>
        <w:t>’s choice to believe in God involves a form of self-deception</w:t>
      </w:r>
      <w:r w:rsidR="00B26799" w:rsidRPr="002A5B71">
        <w:rPr>
          <w:rFonts w:ascii="Garamond" w:hAnsi="Garamond"/>
        </w:rPr>
        <w:t xml:space="preserve">. </w:t>
      </w:r>
      <w:r w:rsidR="00751B89" w:rsidRPr="002A5B71">
        <w:rPr>
          <w:rFonts w:ascii="Garamond" w:hAnsi="Garamond"/>
        </w:rPr>
        <w:t xml:space="preserve"> If a person is willing to engage in</w:t>
      </w:r>
      <w:r w:rsidR="00B26799" w:rsidRPr="002A5B71">
        <w:rPr>
          <w:rFonts w:ascii="Garamond" w:hAnsi="Garamond"/>
        </w:rPr>
        <w:t xml:space="preserve"> this kind of </w:t>
      </w:r>
      <w:proofErr w:type="spellStart"/>
      <w:r w:rsidR="00B26799" w:rsidRPr="002A5B71">
        <w:rPr>
          <w:rFonts w:ascii="Garamond" w:hAnsi="Garamond"/>
        </w:rPr>
        <w:t>self deception</w:t>
      </w:r>
      <w:proofErr w:type="spellEnd"/>
      <w:r w:rsidR="00B26799" w:rsidRPr="002A5B71">
        <w:rPr>
          <w:rFonts w:ascii="Garamond" w:hAnsi="Garamond"/>
        </w:rPr>
        <w:t xml:space="preserve">, they are likely to continue to engage in it in situations where it is not epistemically beneficial.  For example, people who are capable of this sort of </w:t>
      </w:r>
      <w:proofErr w:type="spellStart"/>
      <w:r w:rsidR="00B26799" w:rsidRPr="002A5B71">
        <w:rPr>
          <w:rFonts w:ascii="Garamond" w:hAnsi="Garamond"/>
        </w:rPr>
        <w:t>self deception</w:t>
      </w:r>
      <w:proofErr w:type="spellEnd"/>
      <w:r w:rsidR="00B26799" w:rsidRPr="002A5B71">
        <w:rPr>
          <w:rFonts w:ascii="Garamond" w:hAnsi="Garamond"/>
        </w:rPr>
        <w:t xml:space="preserve"> will tend to believe things just because those beliefs make them happy.  </w:t>
      </w:r>
      <w:r w:rsidR="00751B89" w:rsidRPr="002A5B71">
        <w:rPr>
          <w:rFonts w:ascii="Garamond" w:hAnsi="Garamond"/>
        </w:rPr>
        <w:t>This will, in the long run, lead Jane to form a lot of false beliefs.  Second,</w:t>
      </w:r>
      <w:r w:rsidR="0075512E" w:rsidRPr="002A5B71">
        <w:rPr>
          <w:rFonts w:ascii="Garamond" w:hAnsi="Garamond"/>
        </w:rPr>
        <w:t xml:space="preserve"> if Jane believes that God exists, she will also believe the conjunction of the proposition that God exists and every other </w:t>
      </w:r>
      <w:proofErr w:type="gramStart"/>
      <w:r w:rsidR="0075512E" w:rsidRPr="002A5B71">
        <w:rPr>
          <w:rFonts w:ascii="Garamond" w:hAnsi="Garamond"/>
        </w:rPr>
        <w:t>propositions</w:t>
      </w:r>
      <w:proofErr w:type="gramEnd"/>
      <w:r w:rsidR="0075512E" w:rsidRPr="002A5B71">
        <w:rPr>
          <w:rFonts w:ascii="Garamond" w:hAnsi="Garamond"/>
        </w:rPr>
        <w:t xml:space="preserve"> that she believes.  In other words, for any proposition </w:t>
      </w:r>
      <w:r w:rsidR="0075512E" w:rsidRPr="002A5B71">
        <w:rPr>
          <w:rFonts w:ascii="Garamond" w:hAnsi="Garamond"/>
          <w:i/>
        </w:rPr>
        <w:t>p</w:t>
      </w:r>
      <w:r w:rsidR="0075512E" w:rsidRPr="002A5B71">
        <w:rPr>
          <w:rFonts w:ascii="Garamond" w:hAnsi="Garamond"/>
        </w:rPr>
        <w:t xml:space="preserve"> that Jane believes is true, she will also believe “God </w:t>
      </w:r>
      <w:proofErr w:type="gramStart"/>
      <w:r w:rsidR="0075512E" w:rsidRPr="002A5B71">
        <w:rPr>
          <w:rFonts w:ascii="Garamond" w:hAnsi="Garamond"/>
        </w:rPr>
        <w:t>exists</w:t>
      </w:r>
      <w:proofErr w:type="gramEnd"/>
      <w:r w:rsidR="0075512E" w:rsidRPr="002A5B71">
        <w:rPr>
          <w:rFonts w:ascii="Garamond" w:hAnsi="Garamond"/>
        </w:rPr>
        <w:t xml:space="preserve"> and </w:t>
      </w:r>
      <w:r w:rsidR="0075512E" w:rsidRPr="002A5B71">
        <w:rPr>
          <w:rFonts w:ascii="Garamond" w:hAnsi="Garamond"/>
          <w:i/>
        </w:rPr>
        <w:t>p</w:t>
      </w:r>
      <w:r w:rsidR="0075512E" w:rsidRPr="002A5B71">
        <w:rPr>
          <w:rFonts w:ascii="Garamond" w:hAnsi="Garamond"/>
        </w:rPr>
        <w:t xml:space="preserve"> is true;” for example, she will believe “God exists and 2+2=4.  Before Jane takes the pill, she justifiably believes that God does not exist.  So, before Jane takes the pill, she justifiably believes that it is false that “God exists and 2+2=4” (this proposition is only true if </w:t>
      </w:r>
      <w:proofErr w:type="gramStart"/>
      <w:r w:rsidR="0075512E" w:rsidRPr="002A5B71">
        <w:rPr>
          <w:rFonts w:ascii="Garamond" w:hAnsi="Garamond"/>
        </w:rPr>
        <w:t>both of the conjunctions</w:t>
      </w:r>
      <w:proofErr w:type="gramEnd"/>
      <w:r w:rsidR="0075512E" w:rsidRPr="002A5B71">
        <w:rPr>
          <w:rFonts w:ascii="Garamond" w:hAnsi="Garamond"/>
        </w:rPr>
        <w:t xml:space="preserve"> are true).  That means that, before she takes the pill, she should justifiably believe that taking the pill will lead her to believe an enormous number of false things. </w:t>
      </w:r>
      <w:r w:rsidR="00B26799" w:rsidRPr="002A5B71">
        <w:rPr>
          <w:rFonts w:ascii="Garamond" w:hAnsi="Garamond"/>
        </w:rPr>
        <w:t xml:space="preserve"> Putting this all together, Jane should expect to form more false beliefs </w:t>
      </w:r>
      <w:r w:rsidR="0075512E" w:rsidRPr="002A5B71">
        <w:rPr>
          <w:rFonts w:ascii="Garamond" w:hAnsi="Garamond"/>
        </w:rPr>
        <w:t>by coming to believe in God than</w:t>
      </w:r>
      <w:r w:rsidR="00B26799" w:rsidRPr="002A5B71">
        <w:rPr>
          <w:rFonts w:ascii="Garamond" w:hAnsi="Garamond"/>
        </w:rPr>
        <w:t xml:space="preserve"> she will form true beliefs.  </w:t>
      </w:r>
      <w:proofErr w:type="gramStart"/>
      <w:r w:rsidR="00B26799" w:rsidRPr="002A5B71">
        <w:rPr>
          <w:rFonts w:ascii="Garamond" w:hAnsi="Garamond"/>
        </w:rPr>
        <w:t>So</w:t>
      </w:r>
      <w:proofErr w:type="gramEnd"/>
      <w:r w:rsidR="00B26799" w:rsidRPr="002A5B71">
        <w:rPr>
          <w:rFonts w:ascii="Garamond" w:hAnsi="Garamond"/>
        </w:rPr>
        <w:t xml:space="preserve"> this is not a counterexample to my thesis.</w:t>
      </w:r>
      <w:r w:rsidR="00B26799" w:rsidRPr="002A5B71">
        <w:rPr>
          <w:rStyle w:val="FootnoteReference"/>
          <w:rFonts w:ascii="Garamond" w:hAnsi="Garamond"/>
        </w:rPr>
        <w:footnoteReference w:id="2"/>
      </w:r>
    </w:p>
    <w:p w14:paraId="6989F9D9" w14:textId="77777777" w:rsidR="00B26799" w:rsidRPr="002A5B71" w:rsidRDefault="00B26799" w:rsidP="006249CD">
      <w:pPr>
        <w:spacing w:line="240" w:lineRule="auto"/>
        <w:rPr>
          <w:rFonts w:ascii="Garamond" w:hAnsi="Garamond"/>
        </w:rPr>
      </w:pPr>
    </w:p>
    <w:p w14:paraId="6D42E31B" w14:textId="781DC4B2" w:rsidR="00B26799" w:rsidRPr="002A5B71" w:rsidRDefault="00B26799" w:rsidP="006249CD">
      <w:pPr>
        <w:spacing w:line="240" w:lineRule="auto"/>
        <w:rPr>
          <w:rFonts w:ascii="Garamond" w:hAnsi="Garamond"/>
        </w:rPr>
      </w:pPr>
      <w:r w:rsidRPr="002A5B71">
        <w:rPr>
          <w:rFonts w:ascii="Garamond" w:hAnsi="Garamond"/>
          <w:i/>
        </w:rPr>
        <w:t>Are there ways that the example in Part 2 could have b</w:t>
      </w:r>
      <w:r w:rsidR="0075512E" w:rsidRPr="002A5B71">
        <w:rPr>
          <w:rFonts w:ascii="Garamond" w:hAnsi="Garamond"/>
          <w:i/>
        </w:rPr>
        <w:t>een changed that would make the Version A</w:t>
      </w:r>
      <w:r w:rsidRPr="002A5B71">
        <w:rPr>
          <w:rFonts w:ascii="Garamond" w:hAnsi="Garamond"/>
          <w:i/>
        </w:rPr>
        <w:t xml:space="preserve"> response not work?</w:t>
      </w:r>
    </w:p>
    <w:p w14:paraId="269CB23B" w14:textId="7EDB2234" w:rsidR="0075512E" w:rsidRDefault="0075512E" w:rsidP="006249CD">
      <w:pPr>
        <w:spacing w:line="240" w:lineRule="auto"/>
        <w:rPr>
          <w:rFonts w:ascii="Garamond" w:hAnsi="Garamond"/>
        </w:rPr>
      </w:pPr>
    </w:p>
    <w:p w14:paraId="37BC3428" w14:textId="4A29A165" w:rsidR="002A5B71" w:rsidRDefault="002A5B71" w:rsidP="006249CD">
      <w:pPr>
        <w:spacing w:line="240" w:lineRule="auto"/>
        <w:rPr>
          <w:rFonts w:ascii="Garamond" w:hAnsi="Garamond"/>
        </w:rPr>
      </w:pPr>
    </w:p>
    <w:p w14:paraId="3A2188BE" w14:textId="3387ADD3" w:rsidR="002A5B71" w:rsidRDefault="002A5B71" w:rsidP="006249CD">
      <w:pPr>
        <w:spacing w:line="240" w:lineRule="auto"/>
        <w:rPr>
          <w:rFonts w:ascii="Garamond" w:hAnsi="Garamond"/>
        </w:rPr>
      </w:pPr>
    </w:p>
    <w:p w14:paraId="77245875" w14:textId="77777777" w:rsidR="002A5B71" w:rsidRPr="002A5B71" w:rsidRDefault="002A5B71" w:rsidP="006249CD">
      <w:pPr>
        <w:spacing w:line="240" w:lineRule="auto"/>
        <w:rPr>
          <w:rFonts w:ascii="Garamond" w:hAnsi="Garamond"/>
        </w:rPr>
      </w:pPr>
      <w:bookmarkStart w:id="0" w:name="_GoBack"/>
      <w:bookmarkEnd w:id="0"/>
    </w:p>
    <w:p w14:paraId="7B8FF065" w14:textId="51DD01D9" w:rsidR="00B26799" w:rsidRPr="002A5B71" w:rsidRDefault="00B26799" w:rsidP="006249CD">
      <w:pPr>
        <w:spacing w:line="240" w:lineRule="auto"/>
        <w:rPr>
          <w:rFonts w:ascii="Garamond" w:hAnsi="Garamond"/>
        </w:rPr>
      </w:pPr>
      <w:r w:rsidRPr="002A5B71">
        <w:rPr>
          <w:rFonts w:ascii="Garamond" w:hAnsi="Garamond"/>
          <w:i/>
        </w:rPr>
        <w:t>Part 3 (version B)</w:t>
      </w:r>
    </w:p>
    <w:p w14:paraId="4158AC26" w14:textId="428CA8D4" w:rsidR="00F03584" w:rsidRPr="002A5B71" w:rsidRDefault="00B26799" w:rsidP="006249CD">
      <w:pPr>
        <w:spacing w:line="240" w:lineRule="auto"/>
        <w:rPr>
          <w:rFonts w:ascii="Garamond" w:hAnsi="Garamond"/>
        </w:rPr>
      </w:pPr>
      <w:r w:rsidRPr="002A5B71">
        <w:rPr>
          <w:rFonts w:ascii="Garamond" w:hAnsi="Garamond"/>
        </w:rPr>
        <w:tab/>
        <w:t>While it is counterintuitive, Jane really is justified in believing in God in t</w:t>
      </w:r>
      <w:r w:rsidR="00C0765E" w:rsidRPr="002A5B71">
        <w:rPr>
          <w:rFonts w:ascii="Garamond" w:hAnsi="Garamond"/>
        </w:rPr>
        <w:t>his situation.  To say Jane’s belief</w:t>
      </w:r>
      <w:r w:rsidRPr="002A5B71">
        <w:rPr>
          <w:rFonts w:ascii="Garamond" w:hAnsi="Garamond"/>
        </w:rPr>
        <w:t xml:space="preserve"> is justified is to </w:t>
      </w:r>
      <w:r w:rsidR="00C0765E" w:rsidRPr="002A5B71">
        <w:rPr>
          <w:rFonts w:ascii="Garamond" w:hAnsi="Garamond"/>
        </w:rPr>
        <w:t xml:space="preserve">say that it is reasonable </w:t>
      </w:r>
      <w:r w:rsidR="00C0765E" w:rsidRPr="002A5B71">
        <w:rPr>
          <w:rFonts w:ascii="Garamond" w:hAnsi="Garamond"/>
          <w:i/>
        </w:rPr>
        <w:t>for Jane</w:t>
      </w:r>
      <w:r w:rsidR="00C0765E" w:rsidRPr="002A5B71">
        <w:rPr>
          <w:rFonts w:ascii="Garamond" w:hAnsi="Garamond"/>
        </w:rPr>
        <w:t xml:space="preserve"> to have that belief.</w:t>
      </w:r>
      <w:r w:rsidRPr="002A5B71">
        <w:rPr>
          <w:rFonts w:ascii="Garamond" w:hAnsi="Garamond"/>
        </w:rPr>
        <w:t xml:space="preserve">  </w:t>
      </w:r>
      <w:r w:rsidR="00055E00" w:rsidRPr="002A5B71">
        <w:rPr>
          <w:rFonts w:ascii="Garamond" w:hAnsi="Garamond"/>
        </w:rPr>
        <w:t xml:space="preserve">When we say that </w:t>
      </w:r>
      <w:r w:rsidR="00C0765E" w:rsidRPr="002A5B71">
        <w:rPr>
          <w:rFonts w:ascii="Garamond" w:hAnsi="Garamond"/>
        </w:rPr>
        <w:t xml:space="preserve">believing something </w:t>
      </w:r>
      <w:r w:rsidR="00055E00" w:rsidRPr="002A5B71">
        <w:rPr>
          <w:rFonts w:ascii="Garamond" w:hAnsi="Garamond"/>
        </w:rPr>
        <w:t xml:space="preserve">is </w:t>
      </w:r>
      <w:r w:rsidR="00C0765E" w:rsidRPr="002A5B71">
        <w:rPr>
          <w:rFonts w:ascii="Garamond" w:hAnsi="Garamond"/>
        </w:rPr>
        <w:t xml:space="preserve">reasonable, it is reasonable </w:t>
      </w:r>
      <w:r w:rsidR="00055E00" w:rsidRPr="002A5B71">
        <w:rPr>
          <w:rFonts w:ascii="Garamond" w:hAnsi="Garamond"/>
        </w:rPr>
        <w:t xml:space="preserve">relative to some end or goal.  What is the end or goal that belief aims towards?  It is truth.  To see why I say that, consider the following … [arguments would be needed </w:t>
      </w:r>
      <w:proofErr w:type="gramStart"/>
      <w:r w:rsidR="00055E00" w:rsidRPr="002A5B71">
        <w:rPr>
          <w:rFonts w:ascii="Garamond" w:hAnsi="Garamond"/>
        </w:rPr>
        <w:t xml:space="preserve">here]  </w:t>
      </w:r>
      <w:r w:rsidR="00C0765E" w:rsidRPr="002A5B71">
        <w:rPr>
          <w:rFonts w:ascii="Garamond" w:hAnsi="Garamond"/>
        </w:rPr>
        <w:t>Further</w:t>
      </w:r>
      <w:proofErr w:type="gramEnd"/>
      <w:r w:rsidR="00C0765E" w:rsidRPr="002A5B71">
        <w:rPr>
          <w:rFonts w:ascii="Garamond" w:hAnsi="Garamond"/>
        </w:rPr>
        <w:t>, if Jane has the goal of her beliefs being true, this is the goal of as many of her beliefs as possible being true, not that just the goal of one particular belief being true … [arguments would be needed her]</w:t>
      </w:r>
      <w:r w:rsidR="00C0765E" w:rsidRPr="002A5B71">
        <w:rPr>
          <w:rStyle w:val="FootnoteReference"/>
          <w:rFonts w:ascii="Garamond" w:hAnsi="Garamond"/>
        </w:rPr>
        <w:footnoteReference w:id="3"/>
      </w:r>
    </w:p>
    <w:p w14:paraId="5C0647BA" w14:textId="0C143E13" w:rsidR="00B26799" w:rsidRPr="002A5B71" w:rsidRDefault="00F03584" w:rsidP="006249CD">
      <w:pPr>
        <w:spacing w:line="240" w:lineRule="auto"/>
        <w:rPr>
          <w:rFonts w:ascii="Garamond" w:hAnsi="Garamond"/>
        </w:rPr>
      </w:pPr>
      <w:r w:rsidRPr="002A5B71">
        <w:rPr>
          <w:rFonts w:ascii="Garamond" w:hAnsi="Garamond"/>
        </w:rPr>
        <w:tab/>
      </w:r>
      <w:r w:rsidR="00055E00" w:rsidRPr="002A5B71">
        <w:rPr>
          <w:rFonts w:ascii="Garamond" w:hAnsi="Garamond"/>
        </w:rPr>
        <w:t>Co</w:t>
      </w:r>
      <w:r w:rsidR="007A4221" w:rsidRPr="002A5B71">
        <w:rPr>
          <w:rFonts w:ascii="Garamond" w:hAnsi="Garamond"/>
        </w:rPr>
        <w:t>nsider now two different</w:t>
      </w:r>
      <w:r w:rsidRPr="002A5B71">
        <w:rPr>
          <w:rFonts w:ascii="Garamond" w:hAnsi="Garamond"/>
        </w:rPr>
        <w:t xml:space="preserve"> standards for evaluating when</w:t>
      </w:r>
      <w:r w:rsidR="00055E00" w:rsidRPr="002A5B71">
        <w:rPr>
          <w:rFonts w:ascii="Garamond" w:hAnsi="Garamond"/>
        </w:rPr>
        <w:t xml:space="preserve"> beliefs are good or appropriate relative to this goal.  One is that standard set out in my thesis:  beliefs are good when they are the best way to </w:t>
      </w:r>
      <w:r w:rsidR="007A4221" w:rsidRPr="002A5B71">
        <w:rPr>
          <w:rFonts w:ascii="Garamond" w:hAnsi="Garamond"/>
        </w:rPr>
        <w:t>getting more true beliefs</w:t>
      </w:r>
      <w:r w:rsidR="00055E00" w:rsidRPr="002A5B71">
        <w:rPr>
          <w:rFonts w:ascii="Garamond" w:hAnsi="Garamond"/>
        </w:rPr>
        <w:t>.  The other standard is</w:t>
      </w:r>
      <w:r w:rsidR="0075512E" w:rsidRPr="002A5B71">
        <w:rPr>
          <w:rFonts w:ascii="Garamond" w:hAnsi="Garamond"/>
        </w:rPr>
        <w:t xml:space="preserve"> the standard appealed to in Part 2, which says that a person cannot be justified when </w:t>
      </w:r>
      <w:r w:rsidR="007A4221" w:rsidRPr="002A5B71">
        <w:rPr>
          <w:rFonts w:ascii="Garamond" w:hAnsi="Garamond"/>
        </w:rPr>
        <w:t>it goes against one’s evidence</w:t>
      </w:r>
      <w:r w:rsidR="0075512E" w:rsidRPr="002A5B71">
        <w:rPr>
          <w:rFonts w:ascii="Garamond" w:hAnsi="Garamond"/>
        </w:rPr>
        <w:t xml:space="preserve">.  If the example in Part 2 </w:t>
      </w:r>
      <w:r w:rsidR="007A4221" w:rsidRPr="002A5B71">
        <w:rPr>
          <w:rFonts w:ascii="Garamond" w:hAnsi="Garamond"/>
        </w:rPr>
        <w:t>is relevant to my thesis</w:t>
      </w:r>
      <w:r w:rsidR="0075512E" w:rsidRPr="002A5B71">
        <w:rPr>
          <w:rFonts w:ascii="Garamond" w:hAnsi="Garamond"/>
        </w:rPr>
        <w:t xml:space="preserve">, then it must be that sometimes believing what our evidence tells us is </w:t>
      </w:r>
      <w:r w:rsidR="0075512E" w:rsidRPr="002A5B71">
        <w:rPr>
          <w:rFonts w:ascii="Garamond" w:hAnsi="Garamond"/>
          <w:i/>
        </w:rPr>
        <w:t>not</w:t>
      </w:r>
      <w:r w:rsidR="0075512E" w:rsidRPr="002A5B71">
        <w:rPr>
          <w:rFonts w:ascii="Garamond" w:hAnsi="Garamond"/>
        </w:rPr>
        <w:t xml:space="preserve"> the best way of</w:t>
      </w:r>
      <w:r w:rsidR="007A4221" w:rsidRPr="002A5B71">
        <w:rPr>
          <w:rFonts w:ascii="Garamond" w:hAnsi="Garamond"/>
        </w:rPr>
        <w:t xml:space="preserve"> increasing the number of true beliefs we have</w:t>
      </w:r>
      <w:r w:rsidR="0075512E" w:rsidRPr="002A5B71">
        <w:rPr>
          <w:rFonts w:ascii="Garamond" w:hAnsi="Garamond"/>
        </w:rPr>
        <w:t xml:space="preserve">.  </w:t>
      </w:r>
      <w:r w:rsidR="007A4221" w:rsidRPr="002A5B71">
        <w:rPr>
          <w:rFonts w:ascii="Garamond" w:hAnsi="Garamond"/>
        </w:rPr>
        <w:t>But then it cannot be reasonable for a believer to always employ this standard, since it is not really aimed at the believer’s goal.</w:t>
      </w:r>
      <w:r w:rsidRPr="002A5B71">
        <w:rPr>
          <w:rFonts w:ascii="Garamond" w:hAnsi="Garamond"/>
        </w:rPr>
        <w:t xml:space="preserve"> </w:t>
      </w:r>
      <w:r w:rsidR="007A4221" w:rsidRPr="002A5B71">
        <w:rPr>
          <w:rFonts w:ascii="Garamond" w:hAnsi="Garamond"/>
        </w:rPr>
        <w:t xml:space="preserve"> </w:t>
      </w:r>
      <w:proofErr w:type="gramStart"/>
      <w:r w:rsidRPr="002A5B71">
        <w:rPr>
          <w:rFonts w:ascii="Garamond" w:hAnsi="Garamond"/>
        </w:rPr>
        <w:t>So</w:t>
      </w:r>
      <w:proofErr w:type="gramEnd"/>
      <w:r w:rsidRPr="002A5B71">
        <w:rPr>
          <w:rFonts w:ascii="Garamond" w:hAnsi="Garamond"/>
        </w:rPr>
        <w:t xml:space="preserve"> my standard is the</w:t>
      </w:r>
      <w:r w:rsidR="00055E00" w:rsidRPr="002A5B71">
        <w:rPr>
          <w:rFonts w:ascii="Garamond" w:hAnsi="Garamond"/>
        </w:rPr>
        <w:t xml:space="preserve"> better standard</w:t>
      </w:r>
      <w:r w:rsidR="007A4221" w:rsidRPr="002A5B71">
        <w:rPr>
          <w:rFonts w:ascii="Garamond" w:hAnsi="Garamond"/>
        </w:rPr>
        <w:t>, and my thesis</w:t>
      </w:r>
      <w:r w:rsidR="00055E00" w:rsidRPr="002A5B71">
        <w:rPr>
          <w:rFonts w:ascii="Garamond" w:hAnsi="Garamond"/>
        </w:rPr>
        <w:t xml:space="preserve"> correctly identifies which beliefs are justified.</w:t>
      </w:r>
    </w:p>
    <w:p w14:paraId="77FAA048" w14:textId="77777777" w:rsidR="00055E00" w:rsidRPr="002A5B71" w:rsidRDefault="00055E00" w:rsidP="006249CD">
      <w:pPr>
        <w:spacing w:line="240" w:lineRule="auto"/>
        <w:rPr>
          <w:rFonts w:ascii="Garamond" w:hAnsi="Garamond"/>
        </w:rPr>
      </w:pPr>
    </w:p>
    <w:p w14:paraId="52F00CAF" w14:textId="77777777" w:rsidR="009C2AD3" w:rsidRPr="002A5B71" w:rsidRDefault="009C2AD3" w:rsidP="006249CD">
      <w:pPr>
        <w:spacing w:line="240" w:lineRule="auto"/>
        <w:rPr>
          <w:rFonts w:ascii="Garamond" w:hAnsi="Garamond"/>
        </w:rPr>
      </w:pPr>
    </w:p>
    <w:sectPr w:rsidR="009C2AD3" w:rsidRPr="002A5B71" w:rsidSect="00B2679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D99C0" w14:textId="77777777" w:rsidR="006E3628" w:rsidRDefault="006E3628" w:rsidP="006249CD">
      <w:pPr>
        <w:spacing w:line="240" w:lineRule="auto"/>
      </w:pPr>
      <w:r>
        <w:separator/>
      </w:r>
    </w:p>
  </w:endnote>
  <w:endnote w:type="continuationSeparator" w:id="0">
    <w:p w14:paraId="1CBC79D2" w14:textId="77777777" w:rsidR="006E3628" w:rsidRDefault="006E3628" w:rsidP="00624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altName w:val="Times New Roman"/>
    <w:charset w:val="00"/>
    <w:family w:val="auto"/>
    <w:pitch w:val="variable"/>
    <w:sig w:usb0="00000000" w:usb1="02000000" w:usb2="00000000"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B9D87" w14:textId="77777777" w:rsidR="006E3628" w:rsidRDefault="006E3628" w:rsidP="006249CD">
      <w:pPr>
        <w:spacing w:line="240" w:lineRule="auto"/>
      </w:pPr>
      <w:r>
        <w:separator/>
      </w:r>
    </w:p>
  </w:footnote>
  <w:footnote w:type="continuationSeparator" w:id="0">
    <w:p w14:paraId="51F0E8FF" w14:textId="77777777" w:rsidR="006E3628" w:rsidRDefault="006E3628" w:rsidP="006249CD">
      <w:pPr>
        <w:spacing w:line="240" w:lineRule="auto"/>
      </w:pPr>
      <w:r>
        <w:continuationSeparator/>
      </w:r>
    </w:p>
  </w:footnote>
  <w:footnote w:id="1">
    <w:p w14:paraId="7F489552" w14:textId="77777777" w:rsidR="009C2AD3" w:rsidRPr="002A5B71" w:rsidRDefault="009C2AD3">
      <w:pPr>
        <w:pStyle w:val="FootnoteText"/>
        <w:rPr>
          <w:rFonts w:ascii="Garamond" w:hAnsi="Garamond"/>
        </w:rPr>
      </w:pPr>
      <w:r w:rsidRPr="002A5B71">
        <w:rPr>
          <w:rStyle w:val="FootnoteReference"/>
          <w:rFonts w:ascii="Garamond" w:hAnsi="Garamond"/>
        </w:rPr>
        <w:footnoteRef/>
      </w:r>
      <w:r w:rsidRPr="002A5B71">
        <w:rPr>
          <w:rFonts w:ascii="Garamond" w:hAnsi="Garamond"/>
        </w:rPr>
        <w:t xml:space="preserve"> This example is adapted from one given by Richard </w:t>
      </w:r>
      <w:proofErr w:type="spellStart"/>
      <w:r w:rsidRPr="002A5B71">
        <w:rPr>
          <w:rFonts w:ascii="Garamond" w:hAnsi="Garamond"/>
        </w:rPr>
        <w:t>Fumerton</w:t>
      </w:r>
      <w:proofErr w:type="spellEnd"/>
      <w:r w:rsidRPr="002A5B71">
        <w:rPr>
          <w:rFonts w:ascii="Garamond" w:hAnsi="Garamond"/>
        </w:rPr>
        <w:t xml:space="preserve"> in 1995.</w:t>
      </w:r>
    </w:p>
  </w:footnote>
  <w:footnote w:id="2">
    <w:p w14:paraId="1E956167" w14:textId="77777777" w:rsidR="009C2AD3" w:rsidRPr="002A5B71" w:rsidRDefault="009C2AD3">
      <w:pPr>
        <w:pStyle w:val="FootnoteText"/>
        <w:rPr>
          <w:rFonts w:ascii="Garamond" w:hAnsi="Garamond"/>
        </w:rPr>
      </w:pPr>
      <w:r w:rsidRPr="002A5B71">
        <w:rPr>
          <w:rStyle w:val="FootnoteReference"/>
          <w:rFonts w:ascii="Garamond" w:hAnsi="Garamond"/>
        </w:rPr>
        <w:footnoteRef/>
      </w:r>
      <w:r w:rsidRPr="002A5B71">
        <w:rPr>
          <w:rFonts w:ascii="Garamond" w:hAnsi="Garamond"/>
        </w:rPr>
        <w:t xml:space="preserve"> Some of these ideas come from William Clifford and some from Jonathan Adler</w:t>
      </w:r>
    </w:p>
  </w:footnote>
  <w:footnote w:id="3">
    <w:p w14:paraId="2935A535" w14:textId="26284327" w:rsidR="009C2AD3" w:rsidRPr="002A5B71" w:rsidRDefault="009C2AD3">
      <w:pPr>
        <w:pStyle w:val="FootnoteText"/>
        <w:rPr>
          <w:rFonts w:ascii="Garamond" w:hAnsi="Garamond"/>
        </w:rPr>
      </w:pPr>
      <w:r w:rsidRPr="002A5B71">
        <w:rPr>
          <w:rStyle w:val="FootnoteReference"/>
          <w:rFonts w:ascii="Garamond" w:hAnsi="Garamond"/>
        </w:rPr>
        <w:footnoteRef/>
      </w:r>
      <w:r w:rsidRPr="002A5B71">
        <w:rPr>
          <w:rFonts w:ascii="Garamond" w:hAnsi="Garamond"/>
        </w:rPr>
        <w:t xml:space="preserve"> This is, by the way, a super controversial claim in contemporary philosophy.  If you were to say this in your paper, you’d have to back it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7C39" w14:textId="77777777" w:rsidR="009C2AD3" w:rsidRDefault="009C2AD3" w:rsidP="00624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C4EE6" w14:textId="77777777" w:rsidR="009C2AD3" w:rsidRDefault="009C2AD3" w:rsidP="006249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8DF7" w14:textId="77777777" w:rsidR="009C2AD3" w:rsidRPr="002A5B71" w:rsidRDefault="009C2AD3" w:rsidP="006249CD">
    <w:pPr>
      <w:pStyle w:val="Header"/>
      <w:framePr w:wrap="around" w:vAnchor="text" w:hAnchor="margin" w:xAlign="right" w:y="1"/>
      <w:rPr>
        <w:rStyle w:val="PageNumber"/>
        <w:rFonts w:ascii="Garamond" w:hAnsi="Garamond"/>
      </w:rPr>
    </w:pPr>
    <w:r w:rsidRPr="002A5B71">
      <w:rPr>
        <w:rStyle w:val="PageNumber"/>
        <w:rFonts w:ascii="Garamond" w:hAnsi="Garamond"/>
      </w:rPr>
      <w:fldChar w:fldCharType="begin"/>
    </w:r>
    <w:r w:rsidRPr="002A5B71">
      <w:rPr>
        <w:rStyle w:val="PageNumber"/>
        <w:rFonts w:ascii="Garamond" w:hAnsi="Garamond"/>
      </w:rPr>
      <w:instrText xml:space="preserve">PAGE  </w:instrText>
    </w:r>
    <w:r w:rsidRPr="002A5B71">
      <w:rPr>
        <w:rStyle w:val="PageNumber"/>
        <w:rFonts w:ascii="Garamond" w:hAnsi="Garamond"/>
      </w:rPr>
      <w:fldChar w:fldCharType="separate"/>
    </w:r>
    <w:r w:rsidR="000A2017" w:rsidRPr="002A5B71">
      <w:rPr>
        <w:rStyle w:val="PageNumber"/>
        <w:rFonts w:ascii="Garamond" w:hAnsi="Garamond"/>
        <w:noProof/>
      </w:rPr>
      <w:t>1</w:t>
    </w:r>
    <w:r w:rsidRPr="002A5B71">
      <w:rPr>
        <w:rStyle w:val="PageNumber"/>
        <w:rFonts w:ascii="Garamond" w:hAnsi="Garamond"/>
      </w:rPr>
      <w:fldChar w:fldCharType="end"/>
    </w:r>
  </w:p>
  <w:p w14:paraId="1397032B" w14:textId="51278D66" w:rsidR="009C2AD3" w:rsidRPr="002A5B71" w:rsidRDefault="002A5B71" w:rsidP="006249CD">
    <w:pPr>
      <w:pStyle w:val="Header"/>
      <w:ind w:right="360"/>
      <w:rPr>
        <w:rFonts w:ascii="Garamond" w:hAnsi="Garamond"/>
        <w:b/>
      </w:rPr>
    </w:pPr>
    <w:r w:rsidRPr="002A5B71">
      <w:rPr>
        <w:rFonts w:ascii="Garamond" w:hAnsi="Garamond"/>
        <w:b/>
      </w:rPr>
      <w:t>Introduction to philosophy</w:t>
    </w:r>
  </w:p>
  <w:p w14:paraId="23613235" w14:textId="324BB3B8" w:rsidR="009C2AD3" w:rsidRPr="002A5B71" w:rsidRDefault="002A5B71" w:rsidP="006249CD">
    <w:pPr>
      <w:pStyle w:val="Header"/>
      <w:pBdr>
        <w:bottom w:val="single" w:sz="4" w:space="1" w:color="auto"/>
      </w:pBdr>
      <w:rPr>
        <w:rFonts w:ascii="Garamond" w:hAnsi="Garamond"/>
        <w:b/>
      </w:rPr>
    </w:pPr>
    <w:r w:rsidRPr="002A5B71">
      <w:rPr>
        <w:rFonts w:ascii="Garamond" w:hAnsi="Garamond"/>
        <w:b/>
      </w:rPr>
      <w:t>Giving and r</w:t>
    </w:r>
    <w:r w:rsidR="009C2AD3" w:rsidRPr="002A5B71">
      <w:rPr>
        <w:rFonts w:ascii="Garamond" w:hAnsi="Garamond"/>
        <w:b/>
      </w:rPr>
      <w:t>esponding to counterexamples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34D6F"/>
    <w:multiLevelType w:val="hybridMultilevel"/>
    <w:tmpl w:val="E2EE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B4277"/>
    <w:multiLevelType w:val="hybridMultilevel"/>
    <w:tmpl w:val="41FE3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CD"/>
    <w:rsid w:val="00030B6B"/>
    <w:rsid w:val="00055E00"/>
    <w:rsid w:val="000A2017"/>
    <w:rsid w:val="00172521"/>
    <w:rsid w:val="001D06E3"/>
    <w:rsid w:val="002A5B71"/>
    <w:rsid w:val="00344D4B"/>
    <w:rsid w:val="004E1F84"/>
    <w:rsid w:val="00586E41"/>
    <w:rsid w:val="006249CD"/>
    <w:rsid w:val="006E3628"/>
    <w:rsid w:val="00751B89"/>
    <w:rsid w:val="0075512E"/>
    <w:rsid w:val="007A4221"/>
    <w:rsid w:val="009C2AD3"/>
    <w:rsid w:val="00B26799"/>
    <w:rsid w:val="00C0765E"/>
    <w:rsid w:val="00E57698"/>
    <w:rsid w:val="00F03584"/>
    <w:rsid w:val="00F34C54"/>
    <w:rsid w:val="00FD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71280"/>
  <w14:defaultImageDpi w14:val="300"/>
  <w15:docId w15:val="{E50EFB18-390B-4F5F-BE7F-A8CC9EF9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D4B"/>
    <w:pPr>
      <w:spacing w:line="480" w:lineRule="auto"/>
    </w:pPr>
    <w:rPr>
      <w:rFonts w:ascii="Baskerville" w:hAnsi="Baskerville" w:cs="Baskerville"/>
    </w:rPr>
  </w:style>
  <w:style w:type="paragraph" w:styleId="Heading1">
    <w:name w:val="heading 1"/>
    <w:basedOn w:val="Normal"/>
    <w:next w:val="Normal"/>
    <w:link w:val="Heading1Char"/>
    <w:uiPriority w:val="9"/>
    <w:qFormat/>
    <w:rsid w:val="00344D4B"/>
    <w:pPr>
      <w:outlineLvl w:val="0"/>
    </w:pPr>
    <w:rPr>
      <w:b/>
    </w:rPr>
  </w:style>
  <w:style w:type="paragraph" w:styleId="Heading2">
    <w:name w:val="heading 2"/>
    <w:basedOn w:val="Heading1"/>
    <w:next w:val="Normal"/>
    <w:link w:val="Heading2Char"/>
    <w:uiPriority w:val="9"/>
    <w:unhideWhenUsed/>
    <w:qFormat/>
    <w:rsid w:val="00344D4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D4B"/>
    <w:rPr>
      <w:rFonts w:ascii="Baskerville" w:hAnsi="Baskerville" w:cs="Baskerville"/>
      <w:b/>
    </w:rPr>
  </w:style>
  <w:style w:type="paragraph" w:styleId="DocumentMap">
    <w:name w:val="Document Map"/>
    <w:basedOn w:val="Normal"/>
    <w:link w:val="DocumentMapChar"/>
    <w:uiPriority w:val="99"/>
    <w:semiHidden/>
    <w:unhideWhenUsed/>
    <w:rsid w:val="00344D4B"/>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44D4B"/>
    <w:rPr>
      <w:rFonts w:ascii="Lucida Grande" w:hAnsi="Lucida Grande" w:cs="Lucida Grande"/>
    </w:rPr>
  </w:style>
  <w:style w:type="character" w:customStyle="1" w:styleId="Heading2Char">
    <w:name w:val="Heading 2 Char"/>
    <w:basedOn w:val="DefaultParagraphFont"/>
    <w:link w:val="Heading2"/>
    <w:uiPriority w:val="9"/>
    <w:rsid w:val="00344D4B"/>
    <w:rPr>
      <w:rFonts w:ascii="Baskerville" w:hAnsi="Baskerville" w:cs="Baskerville"/>
      <w:b/>
    </w:rPr>
  </w:style>
  <w:style w:type="paragraph" w:styleId="Header">
    <w:name w:val="header"/>
    <w:basedOn w:val="Normal"/>
    <w:link w:val="HeaderChar"/>
    <w:uiPriority w:val="99"/>
    <w:unhideWhenUsed/>
    <w:rsid w:val="006249CD"/>
    <w:pPr>
      <w:tabs>
        <w:tab w:val="center" w:pos="4320"/>
        <w:tab w:val="right" w:pos="8640"/>
      </w:tabs>
      <w:spacing w:line="240" w:lineRule="auto"/>
    </w:pPr>
  </w:style>
  <w:style w:type="character" w:customStyle="1" w:styleId="HeaderChar">
    <w:name w:val="Header Char"/>
    <w:basedOn w:val="DefaultParagraphFont"/>
    <w:link w:val="Header"/>
    <w:uiPriority w:val="99"/>
    <w:rsid w:val="006249CD"/>
    <w:rPr>
      <w:rFonts w:ascii="Baskerville" w:hAnsi="Baskerville" w:cs="Baskerville"/>
    </w:rPr>
  </w:style>
  <w:style w:type="paragraph" w:styleId="Footer">
    <w:name w:val="footer"/>
    <w:basedOn w:val="Normal"/>
    <w:link w:val="FooterChar"/>
    <w:uiPriority w:val="99"/>
    <w:unhideWhenUsed/>
    <w:rsid w:val="006249CD"/>
    <w:pPr>
      <w:tabs>
        <w:tab w:val="center" w:pos="4320"/>
        <w:tab w:val="right" w:pos="8640"/>
      </w:tabs>
      <w:spacing w:line="240" w:lineRule="auto"/>
    </w:pPr>
  </w:style>
  <w:style w:type="character" w:customStyle="1" w:styleId="FooterChar">
    <w:name w:val="Footer Char"/>
    <w:basedOn w:val="DefaultParagraphFont"/>
    <w:link w:val="Footer"/>
    <w:uiPriority w:val="99"/>
    <w:rsid w:val="006249CD"/>
    <w:rPr>
      <w:rFonts w:ascii="Baskerville" w:hAnsi="Baskerville" w:cs="Baskerville"/>
    </w:rPr>
  </w:style>
  <w:style w:type="character" w:styleId="PageNumber">
    <w:name w:val="page number"/>
    <w:basedOn w:val="DefaultParagraphFont"/>
    <w:uiPriority w:val="99"/>
    <w:semiHidden/>
    <w:unhideWhenUsed/>
    <w:rsid w:val="006249CD"/>
  </w:style>
  <w:style w:type="paragraph" w:styleId="FootnoteText">
    <w:name w:val="footnote text"/>
    <w:basedOn w:val="Normal"/>
    <w:link w:val="FootnoteTextChar"/>
    <w:uiPriority w:val="99"/>
    <w:unhideWhenUsed/>
    <w:rsid w:val="006249CD"/>
    <w:pPr>
      <w:spacing w:line="240" w:lineRule="auto"/>
    </w:pPr>
  </w:style>
  <w:style w:type="character" w:customStyle="1" w:styleId="FootnoteTextChar">
    <w:name w:val="Footnote Text Char"/>
    <w:basedOn w:val="DefaultParagraphFont"/>
    <w:link w:val="FootnoteText"/>
    <w:uiPriority w:val="99"/>
    <w:rsid w:val="006249CD"/>
    <w:rPr>
      <w:rFonts w:ascii="Baskerville" w:hAnsi="Baskerville" w:cs="Baskerville"/>
    </w:rPr>
  </w:style>
  <w:style w:type="character" w:styleId="FootnoteReference">
    <w:name w:val="footnote reference"/>
    <w:basedOn w:val="DefaultParagraphFont"/>
    <w:uiPriority w:val="99"/>
    <w:unhideWhenUsed/>
    <w:rsid w:val="006249CD"/>
    <w:rPr>
      <w:vertAlign w:val="superscript"/>
    </w:rPr>
  </w:style>
  <w:style w:type="paragraph" w:styleId="ListParagraph">
    <w:name w:val="List Paragraph"/>
    <w:basedOn w:val="Normal"/>
    <w:uiPriority w:val="34"/>
    <w:qFormat/>
    <w:rsid w:val="009C2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3</cp:revision>
  <cp:lastPrinted>2017-02-26T19:31:00Z</cp:lastPrinted>
  <dcterms:created xsi:type="dcterms:W3CDTF">2018-10-16T18:19:00Z</dcterms:created>
  <dcterms:modified xsi:type="dcterms:W3CDTF">2018-10-16T18:29:00Z</dcterms:modified>
</cp:coreProperties>
</file>